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B372" w14:textId="77777777" w:rsidR="0075763F" w:rsidRPr="00424EC3" w:rsidRDefault="00424EC3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424EC3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14:paraId="2410C0D5" w14:textId="77777777" w:rsidR="0075763F" w:rsidRPr="00EB5B6F" w:rsidRDefault="00B65A6B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="0075763F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14:paraId="31C2697F" w14:textId="77777777"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14:paraId="0A55F6DF" w14:textId="77777777"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14:paraId="1EEC724D" w14:textId="77777777" w:rsidR="00CC652A" w:rsidRPr="00EB5B6F" w:rsidRDefault="007602C1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10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.11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950D8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420</w:t>
      </w:r>
      <w:r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14:paraId="6FE9AAAB" w14:textId="77777777" w:rsidR="00125EA1" w:rsidRPr="00EB5B6F" w:rsidRDefault="00125EA1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14:paraId="724552E3" w14:textId="77777777" w:rsidR="0075763F" w:rsidRPr="00EB5B6F" w:rsidRDefault="0075763F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EB5B6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14:paraId="6889B68A" w14:textId="77777777" w:rsidR="002D4FD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14:paraId="062CB184" w14:textId="77777777" w:rsidR="00B65A6B" w:rsidRPr="00EB5B6F" w:rsidRDefault="00870415" w:rsidP="00EB5B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5B6F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EB5B6F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 w:rsidRPr="00EB5B6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5B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 w:rsidRPr="00EB5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0059" w:rsidRPr="00EB5B6F">
        <w:rPr>
          <w:rFonts w:ascii="Times New Roman" w:hAnsi="Times New Roman" w:cs="Times New Roman"/>
          <w:sz w:val="24"/>
        </w:rPr>
        <w:t xml:space="preserve">головного спеціаліста </w:t>
      </w:r>
    </w:p>
    <w:p w14:paraId="2D8E658B" w14:textId="7D069806" w:rsidR="001411FC" w:rsidRPr="00EB5B6F" w:rsidRDefault="00417CB5" w:rsidP="00EB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відділу контролю у сфері  торгівлі, робіт та послуг управління захисту споживачів</w:t>
      </w:r>
    </w:p>
    <w:p w14:paraId="4ADA40C4" w14:textId="77777777" w:rsidR="00B4519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F36CAE" w14:textId="77777777" w:rsidR="00945A27" w:rsidRPr="00EB5B6F" w:rsidRDefault="00945A27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EB5B6F" w14:paraId="412E758D" w14:textId="77777777" w:rsidTr="00B45195">
        <w:tc>
          <w:tcPr>
            <w:tcW w:w="10773" w:type="dxa"/>
            <w:gridSpan w:val="3"/>
            <w:shd w:val="clear" w:color="auto" w:fill="auto"/>
            <w:hideMark/>
          </w:tcPr>
          <w:p w14:paraId="629D2201" w14:textId="77777777" w:rsidR="0075763F" w:rsidRPr="00EB5B6F" w:rsidRDefault="0075763F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DA44FA" w:rsidRPr="00EB5B6F" w14:paraId="3EDD55D2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2E607F5C" w14:textId="77777777" w:rsidR="00DA44FA" w:rsidRPr="00EB5B6F" w:rsidRDefault="00DA44FA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14:paraId="72423E8F" w14:textId="77777777" w:rsidR="00417CB5" w:rsidRDefault="00417CB5" w:rsidP="00417CB5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2654A7">
              <w:rPr>
                <w:color w:val="000000"/>
              </w:rPr>
              <w:t>У межах наданої компетенції розглядає звернення, скарги, заяви органів державної влади та органів місцевого самоврядування, громадських об'єднань, підприємств, установ, організацій, громадян та готує за ними відповідні проекти відповідей та рішень.</w:t>
            </w:r>
          </w:p>
          <w:p w14:paraId="7266D92D" w14:textId="77777777" w:rsidR="00417CB5" w:rsidRDefault="00417CB5" w:rsidP="00417CB5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Проводить контрольні перевірки правильності </w:t>
            </w:r>
            <w:r w:rsidRPr="002654A7">
              <w:rPr>
                <w:color w:val="000000"/>
              </w:rPr>
              <w:t>здійснення розрахунків зі споживачами.</w:t>
            </w:r>
          </w:p>
          <w:p w14:paraId="6EA67C78" w14:textId="77777777" w:rsidR="00417CB5" w:rsidRPr="002654A7" w:rsidRDefault="00417CB5" w:rsidP="00417CB5">
            <w:pPr>
              <w:pStyle w:val="rvps2"/>
              <w:shd w:val="clear" w:color="auto" w:fill="FFFFFF"/>
              <w:spacing w:before="0" w:beforeAutospacing="0" w:after="0" w:afterAutospacing="0"/>
              <w:ind w:left="3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 суб'єктів господарювання </w:t>
            </w:r>
            <w:r w:rsidRPr="002654A7">
              <w:rPr>
                <w:color w:val="000000"/>
              </w:rPr>
              <w:t>сфери торгівлі, робіт та послуг,  у тому числі ресторанного господарства:</w:t>
            </w:r>
          </w:p>
          <w:p w14:paraId="040201CE" w14:textId="77777777" w:rsidR="00417CB5" w:rsidRDefault="00417CB5" w:rsidP="00417CB5">
            <w:pPr>
              <w:pStyle w:val="rvps2"/>
              <w:shd w:val="clear" w:color="auto" w:fill="FFFFFF"/>
              <w:spacing w:before="0" w:beforeAutospacing="0" w:after="0" w:afterAutospacing="0"/>
              <w:ind w:left="32"/>
              <w:jc w:val="both"/>
              <w:rPr>
                <w:color w:val="000000"/>
              </w:rPr>
            </w:pPr>
            <w:r w:rsidRPr="002654A7">
              <w:rPr>
                <w:color w:val="000000"/>
              </w:rPr>
              <w:t>- пер</w:t>
            </w:r>
            <w:r>
              <w:rPr>
                <w:color w:val="000000"/>
              </w:rPr>
              <w:t xml:space="preserve">евіряє додержання  обов'язкових вимог щодо </w:t>
            </w:r>
            <w:r w:rsidRPr="002654A7">
              <w:rPr>
                <w:color w:val="000000"/>
              </w:rPr>
              <w:t>безпеки продукції, правил торгівлі та надання послуг й дотримання законодавства про захист прав споживачів;</w:t>
            </w:r>
          </w:p>
          <w:p w14:paraId="5C0BF933" w14:textId="77777777" w:rsidR="00417CB5" w:rsidRPr="002654A7" w:rsidRDefault="00417CB5" w:rsidP="00417CB5">
            <w:pPr>
              <w:pStyle w:val="rvps2"/>
              <w:shd w:val="clear" w:color="auto" w:fill="FFFFFF"/>
              <w:spacing w:before="0" w:beforeAutospacing="0" w:after="0" w:afterAutospacing="0"/>
              <w:ind w:left="32"/>
              <w:jc w:val="both"/>
              <w:rPr>
                <w:color w:val="000000"/>
              </w:rPr>
            </w:pPr>
            <w:r w:rsidRPr="002654A7">
              <w:rPr>
                <w:color w:val="000000"/>
              </w:rPr>
              <w:t xml:space="preserve"> - відбирає зразки товарів, сировини, матеріалів, комплектувальних виробів для проведення п</w:t>
            </w:r>
            <w:r>
              <w:rPr>
                <w:color w:val="000000"/>
              </w:rPr>
              <w:t>еревірки їх якості на місці або</w:t>
            </w:r>
            <w:r w:rsidRPr="002654A7">
              <w:rPr>
                <w:color w:val="000000"/>
              </w:rPr>
              <w:t xml:space="preserve"> незалежної експертизи у відповідних лабораторіях та інших установах, акредитованих на право проведення таких робіт згідно із законодавством;</w:t>
            </w:r>
          </w:p>
          <w:p w14:paraId="526410AA" w14:textId="77777777" w:rsidR="00417CB5" w:rsidRDefault="00417CB5" w:rsidP="00417CB5">
            <w:pPr>
              <w:pStyle w:val="ad"/>
              <w:spacing w:before="0" w:beforeAutospacing="0" w:after="0" w:afterAutospacing="0"/>
              <w:jc w:val="both"/>
            </w:pPr>
            <w:r w:rsidRPr="002654A7">
              <w:rPr>
                <w:color w:val="000000"/>
              </w:rPr>
              <w:t xml:space="preserve">- </w:t>
            </w:r>
            <w:r w:rsidRPr="002654A7">
              <w:t>одержує безоплатно копії необхідних  документів, які характеризують якість продукції, сировини, матеріалів, комплектувальних виробів, що використовуються для виробництва такої продукції.</w:t>
            </w:r>
          </w:p>
          <w:p w14:paraId="63E01C41" w14:textId="77777777" w:rsidR="00417CB5" w:rsidRDefault="00417CB5" w:rsidP="00417CB5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2654A7">
              <w:rPr>
                <w:color w:val="000000"/>
              </w:rPr>
              <w:t>Здійснює направлення виконавчих документів до органів державної виконавчої служби та контролює хід виконавчого провадження.</w:t>
            </w:r>
          </w:p>
          <w:p w14:paraId="27A8C2EE" w14:textId="77777777" w:rsidR="00417CB5" w:rsidRDefault="00417CB5" w:rsidP="00417CB5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2654A7">
              <w:rPr>
                <w:color w:val="000000"/>
              </w:rPr>
              <w:t xml:space="preserve">Дає суб'єктам господарювання обов'язкові до виконання приписи щодо припинення порушень прав споживачів, згідно форми </w:t>
            </w:r>
            <w:proofErr w:type="spellStart"/>
            <w:r w:rsidRPr="002654A7">
              <w:rPr>
                <w:color w:val="000000"/>
              </w:rPr>
              <w:t>акта</w:t>
            </w:r>
            <w:proofErr w:type="spellEnd"/>
            <w:r w:rsidRPr="002654A7">
              <w:rPr>
                <w:color w:val="000000"/>
              </w:rPr>
              <w:t xml:space="preserve"> перевірки дотримання законодавства про захист прав споживачів.</w:t>
            </w:r>
          </w:p>
          <w:p w14:paraId="104AEBB9" w14:textId="77777777" w:rsidR="00417CB5" w:rsidRPr="002654A7" w:rsidRDefault="00417CB5" w:rsidP="00417CB5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2654A7">
              <w:rPr>
                <w:color w:val="000000"/>
              </w:rPr>
              <w:t>Готує всі належні та необхідні документи:</w:t>
            </w:r>
          </w:p>
          <w:p w14:paraId="2541C1B8" w14:textId="77777777" w:rsidR="00417CB5" w:rsidRPr="002654A7" w:rsidRDefault="00417CB5" w:rsidP="00417CB5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2654A7">
              <w:rPr>
                <w:color w:val="000000"/>
              </w:rPr>
              <w:t>- для закриття актів про проведення перевірок. Несе особисту відповідальність за правильне оформлення матеріалів доручених йому перевірок.</w:t>
            </w:r>
          </w:p>
          <w:p w14:paraId="66B17B72" w14:textId="77777777" w:rsidR="00417CB5" w:rsidRPr="002654A7" w:rsidRDefault="00417CB5" w:rsidP="00417CB5">
            <w:pPr>
              <w:pStyle w:val="ad"/>
              <w:spacing w:before="0" w:beforeAutospacing="0" w:after="0" w:afterAutospacing="0"/>
              <w:jc w:val="both"/>
            </w:pPr>
            <w:r w:rsidRPr="002654A7">
              <w:t>- для накладення на суб’єктів господарювання стягнення за порушення законодавства про захист прав споживачів відповідно до ст. 23 Закону України</w:t>
            </w:r>
            <w:r>
              <w:t xml:space="preserve"> «Про захист прав споживачів», </w:t>
            </w:r>
            <w:r w:rsidRPr="002654A7">
              <w:t xml:space="preserve">Кодексу України про адміністративні правопорушення та інших нормативних актів у </w:t>
            </w:r>
            <w:r>
              <w:t>сфері захисту прав споживачів;</w:t>
            </w:r>
          </w:p>
          <w:p w14:paraId="227A09F9" w14:textId="41D9A8D1" w:rsidR="00DA44FA" w:rsidRPr="00417CB5" w:rsidRDefault="00417CB5" w:rsidP="00417CB5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7CB5">
              <w:rPr>
                <w:rFonts w:ascii="Times New Roman" w:hAnsi="Times New Roman" w:cs="Times New Roman"/>
              </w:rPr>
              <w:t xml:space="preserve">- </w:t>
            </w:r>
            <w:r w:rsidRPr="00417CB5">
              <w:rPr>
                <w:rFonts w:ascii="Times New Roman" w:hAnsi="Times New Roman" w:cs="Times New Roman"/>
                <w:sz w:val="24"/>
                <w:szCs w:val="24"/>
              </w:rPr>
              <w:t>для накладання на винних осіб, у випадках передбачених законодавством, адміністративних стягнень та ін.</w:t>
            </w:r>
          </w:p>
        </w:tc>
      </w:tr>
      <w:tr w:rsidR="00DA44FA" w:rsidRPr="00EB5B6F" w14:paraId="77EEF23F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4C323440" w14:textId="77777777" w:rsidR="00DA44FA" w:rsidRPr="00EB5B6F" w:rsidRDefault="00DA44FA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14:paraId="3D0B68B9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5 500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14:paraId="79BD4324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EB5B6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лужбу»;</w:t>
            </w:r>
          </w:p>
          <w:p w14:paraId="6CC5B649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до посадового окладу за ранг державного службовця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B65A6B" w:rsidRPr="00EB5B6F" w14:paraId="5FDECC9B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24D0521A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14:paraId="66EA629F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безстроково;</w:t>
            </w:r>
          </w:p>
          <w:p w14:paraId="48D649EC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B65A6B" w:rsidRPr="00EB5B6F" w14:paraId="00D8C05F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015C4967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14:paraId="4C78A7E5" w14:textId="77777777" w:rsidR="00B65A6B" w:rsidRPr="00EB5B6F" w:rsidRDefault="00B65A6B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 заяву про участь у конкурсі із зазначенням основних мотивів щодо зайняття посади за формою згідно з д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одатком 2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4BCDCDDD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згідно з додатком 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14:paraId="315F7C24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14:paraId="372A3749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6997CCED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7F9D7F07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581F3510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40439B07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заяву, в якій повідомляється, що до особи не застосовуються заборони, визначені частиною третьою або четвертою                статті 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7C9F2AD0" w14:textId="77777777" w:rsidR="00B65A6B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14:paraId="013A7483" w14:textId="77777777" w:rsid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vertAlign w:val="superscript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3A947E50" w14:textId="77777777" w:rsidR="00636F97" w:rsidRP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6DBE89CB" w14:textId="77777777" w:rsid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Інформація приймається через Єдиний портал вакансій державної служби за посиланням </w:t>
            </w:r>
            <w:hyperlink r:id="rId7" w:history="1">
              <w:r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1B92808" w14:textId="77777777" w:rsidR="00636F97" w:rsidRPr="00636F97" w:rsidRDefault="00636F97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77419B56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14:paraId="2AF129AE" w14:textId="77777777" w:rsidR="00B65A6B" w:rsidRPr="00EB5B6F" w:rsidRDefault="00B65A6B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до 17 год. 00 хв. </w:t>
            </w:r>
            <w:r w:rsidR="00950D8A"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1</w:t>
            </w:r>
            <w:r w:rsidR="00636F97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7 листопада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36F97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2021 р.</w:t>
            </w:r>
          </w:p>
        </w:tc>
      </w:tr>
      <w:tr w:rsidR="00B65A6B" w:rsidRPr="00EB5B6F" w14:paraId="70E09980" w14:textId="77777777" w:rsidTr="00B45195">
        <w:tc>
          <w:tcPr>
            <w:tcW w:w="3828" w:type="dxa"/>
            <w:gridSpan w:val="2"/>
            <w:shd w:val="clear" w:color="auto" w:fill="auto"/>
          </w:tcPr>
          <w:p w14:paraId="1658ACEB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14:paraId="62EE73E2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="00950D8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B65A6B" w:rsidRPr="00EB5B6F" w14:paraId="635F4498" w14:textId="77777777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14:paraId="736DB756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14:paraId="531F578D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 або спосіб проведення тестування.</w:t>
            </w:r>
          </w:p>
          <w:p w14:paraId="746E990E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14:paraId="51F2B050" w14:textId="77777777" w:rsidR="00B65A6B" w:rsidRPr="00ED02C5" w:rsidRDefault="00636F97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22 листопада</w:t>
            </w:r>
            <w:r w:rsidR="00B65A6B" w:rsidRPr="00ED02C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2021 року 10 год. 00 хв.</w:t>
            </w:r>
          </w:p>
          <w:p w14:paraId="6662BB36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74B4F1C3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тестування за фізичної присутності кандидатів)</w:t>
            </w:r>
          </w:p>
          <w:p w14:paraId="5CABBC4D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4363B68E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співбесіди за фізичної присутності кандидатів)</w:t>
            </w:r>
          </w:p>
        </w:tc>
      </w:tr>
      <w:tr w:rsidR="00B65A6B" w:rsidRPr="00EB5B6F" w14:paraId="1B649007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8D76158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ім’я та по батькові, номер телефону та адреса електронної пошти особи, яка 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14:paraId="59BE5CE9" w14:textId="77777777" w:rsidR="00B65A6B" w:rsidRPr="00EB5B6F" w:rsidRDefault="00B65A6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Кручок</w:t>
            </w:r>
            <w:proofErr w:type="spellEnd"/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Валентинівна, </w:t>
            </w:r>
          </w:p>
          <w:p w14:paraId="76FF3EB8" w14:textId="77777777" w:rsidR="00B65A6B" w:rsidRPr="00EB5B6F" w:rsidRDefault="00B65A6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3915FE26" w14:textId="77777777" w:rsidR="004E167C" w:rsidRPr="00EB5B6F" w:rsidRDefault="00B65A6B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тел. (0362) 633-630 </w:t>
            </w:r>
          </w:p>
          <w:p w14:paraId="1BC3C176" w14:textId="77777777" w:rsidR="004E167C" w:rsidRPr="00EB5B6F" w:rsidRDefault="004E167C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3FE1948C" w14:textId="77777777" w:rsidR="00B65A6B" w:rsidRPr="00EB5B6F" w:rsidRDefault="00417CB5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  <w:p w14:paraId="4C0CA00A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ru-RU" w:eastAsia="ru-RU"/>
              </w:rPr>
            </w:pPr>
          </w:p>
        </w:tc>
      </w:tr>
      <w:tr w:rsidR="00B65A6B" w:rsidRPr="00EB5B6F" w14:paraId="097F7026" w14:textId="77777777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14:paraId="7BF621B3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  <w:p w14:paraId="2C77C2F8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06DD5BCC" w14:textId="77777777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14:paraId="78FE234A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489CC4A5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14:paraId="4130C409" w14:textId="5D771B9A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 xml:space="preserve">вища освіта ступеня не нижче молодшого бакалавра або бакалавра </w:t>
            </w:r>
          </w:p>
        </w:tc>
      </w:tr>
      <w:tr w:rsidR="00B65A6B" w:rsidRPr="00EB5B6F" w14:paraId="78387794" w14:textId="77777777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14:paraId="7517625E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1D25B85F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14:paraId="4B1ED0AE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B65A6B" w:rsidRPr="00EB5B6F" w14:paraId="6B4BA143" w14:textId="77777777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14:paraId="295056D6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14:paraId="0A202324" w14:textId="77777777" w:rsidR="00B65A6B" w:rsidRPr="00EB5B6F" w:rsidRDefault="00B65A6B" w:rsidP="00EB5B6F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14:paraId="0DF0D5ED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B65A6B" w:rsidRPr="00EB5B6F" w14:paraId="24BD6E4C" w14:textId="77777777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14:paraId="4F768212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14:paraId="1068DAC3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14:paraId="219D25BC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639FEF5B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123D1AA6" w14:textId="77777777" w:rsidR="00B65A6B" w:rsidRPr="00EB5B6F" w:rsidRDefault="00B65A6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4D341F41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65A6B" w:rsidRPr="00EB5B6F" w14:paraId="5D4180F6" w14:textId="77777777" w:rsidTr="00B45195">
        <w:tc>
          <w:tcPr>
            <w:tcW w:w="424" w:type="dxa"/>
            <w:shd w:val="clear" w:color="auto" w:fill="auto"/>
            <w:hideMark/>
          </w:tcPr>
          <w:p w14:paraId="09AE61BC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01E81D73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14:paraId="40BE8870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68850B5A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5311644B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  <w:r w:rsid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5A6B" w:rsidRPr="00EB5B6F" w14:paraId="7C518A7E" w14:textId="77777777" w:rsidTr="00B45195">
        <w:tc>
          <w:tcPr>
            <w:tcW w:w="424" w:type="dxa"/>
            <w:shd w:val="clear" w:color="auto" w:fill="auto"/>
          </w:tcPr>
          <w:p w14:paraId="34FD56E7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14:paraId="75FBA738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14:paraId="524AFE3D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14:paraId="22083D68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14:paraId="3128910E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B65A6B" w:rsidRPr="00EB5B6F" w14:paraId="1E2E4509" w14:textId="77777777" w:rsidTr="00B45195">
        <w:tc>
          <w:tcPr>
            <w:tcW w:w="424" w:type="dxa"/>
            <w:shd w:val="clear" w:color="auto" w:fill="auto"/>
            <w:hideMark/>
          </w:tcPr>
          <w:p w14:paraId="5F3AFDC1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7525CA39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Комунікація та</w:t>
            </w:r>
          </w:p>
          <w:p w14:paraId="45CBE93D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взаємодія</w:t>
            </w:r>
          </w:p>
        </w:tc>
        <w:tc>
          <w:tcPr>
            <w:tcW w:w="6945" w:type="dxa"/>
            <w:shd w:val="clear" w:color="auto" w:fill="auto"/>
          </w:tcPr>
          <w:p w14:paraId="3ABF9ECE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визначати заінтересовані і впливові сторони та розбудовувати партнерські відносини;</w:t>
            </w:r>
          </w:p>
          <w:p w14:paraId="643C0FEA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ефективно взаємодіяти – дослухатися, сприймати та викладати думку;</w:t>
            </w:r>
          </w:p>
          <w:p w14:paraId="6F3B5DFE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публічно виступати перед аудиторією;</w:t>
            </w:r>
          </w:p>
          <w:p w14:paraId="5391DF3F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  <w:r w:rsid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5A6B" w:rsidRPr="00EB5B6F" w14:paraId="6387B8C9" w14:textId="77777777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14:paraId="701B393E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14:paraId="5F6FEA98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1506FDB3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68C8E29D" w14:textId="77777777" w:rsidR="00B65A6B" w:rsidRPr="00EB5B6F" w:rsidRDefault="00B65A6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7DAA9AF1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65A6B" w:rsidRPr="00EB5B6F" w14:paraId="1C8A8960" w14:textId="77777777" w:rsidTr="00F15BF4">
        <w:trPr>
          <w:trHeight w:val="1470"/>
        </w:trPr>
        <w:tc>
          <w:tcPr>
            <w:tcW w:w="424" w:type="dxa"/>
            <w:shd w:val="clear" w:color="auto" w:fill="auto"/>
            <w:hideMark/>
          </w:tcPr>
          <w:p w14:paraId="483F701A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44BC7880" w14:textId="77777777" w:rsidR="00B65A6B" w:rsidRPr="00EB5B6F" w:rsidRDefault="00B65A6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14:paraId="0D67A54A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14:paraId="5C3CB2BE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14:paraId="1FA1F8F8" w14:textId="77777777" w:rsidR="00B65A6B" w:rsidRPr="00EB5B6F" w:rsidRDefault="00B65A6B" w:rsidP="00EB5B6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державну службу»;</w:t>
            </w:r>
          </w:p>
          <w:p w14:paraId="23D902AF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запобігання корупції»</w:t>
            </w:r>
          </w:p>
          <w:p w14:paraId="5748BD14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B65A6B" w:rsidRPr="00EB5B6F" w14:paraId="1FB15DFA" w14:textId="77777777" w:rsidTr="00F15BF4">
        <w:trPr>
          <w:trHeight w:val="2058"/>
        </w:trPr>
        <w:tc>
          <w:tcPr>
            <w:tcW w:w="424" w:type="dxa"/>
            <w:shd w:val="clear" w:color="auto" w:fill="auto"/>
            <w:hideMark/>
          </w:tcPr>
          <w:p w14:paraId="09C4EAF1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6275C277" w14:textId="77777777" w:rsidR="00B65A6B" w:rsidRPr="00EB5B6F" w:rsidRDefault="00B65A6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14:paraId="430CFA5D" w14:textId="77777777" w:rsidR="00417CB5" w:rsidRDefault="00417CB5" w:rsidP="0041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захист прав споживачів»;</w:t>
            </w:r>
          </w:p>
          <w:p w14:paraId="63ED9DB8" w14:textId="77777777" w:rsidR="00417CB5" w:rsidRDefault="00417CB5" w:rsidP="0041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основні засади державного нагляду (контролю) у сфері господарської діяльності»;</w:t>
            </w:r>
          </w:p>
          <w:p w14:paraId="2DC8972D" w14:textId="77777777" w:rsidR="00417CB5" w:rsidRDefault="00417CB5" w:rsidP="0041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Порядок повадження торговельної діяльності та правил торговельного обслуговування на ринку споживчих товарів;</w:t>
            </w:r>
          </w:p>
          <w:p w14:paraId="035C7271" w14:textId="77777777" w:rsidR="00417CB5" w:rsidRPr="006B3830" w:rsidRDefault="00417CB5" w:rsidP="0041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роздрібної торгівлі непродовольчими товарами;</w:t>
            </w:r>
          </w:p>
          <w:p w14:paraId="0C9F0B68" w14:textId="77777777" w:rsidR="00417CB5" w:rsidRDefault="00417CB5" w:rsidP="0041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Положення про Головне управління Держпродспоживслужби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8371CA" w14:textId="0174AF1E" w:rsidR="00B65A6B" w:rsidRPr="00417CB5" w:rsidRDefault="00417CB5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Рівненській області</w:t>
            </w:r>
          </w:p>
        </w:tc>
      </w:tr>
    </w:tbl>
    <w:p w14:paraId="732D0C90" w14:textId="77777777" w:rsidR="0075763F" w:rsidRPr="00EB5B6F" w:rsidRDefault="0075763F" w:rsidP="00EB5B6F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EB5B6F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B137" w14:textId="77777777" w:rsidR="00C77631" w:rsidRDefault="00C77631">
      <w:pPr>
        <w:spacing w:after="0" w:line="240" w:lineRule="auto"/>
      </w:pPr>
      <w:r>
        <w:separator/>
      </w:r>
    </w:p>
  </w:endnote>
  <w:endnote w:type="continuationSeparator" w:id="0">
    <w:p w14:paraId="3E0098CC" w14:textId="77777777" w:rsidR="00C77631" w:rsidRDefault="00C7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F311" w14:textId="77777777" w:rsidR="00C77631" w:rsidRDefault="00C77631">
      <w:pPr>
        <w:spacing w:after="0" w:line="240" w:lineRule="auto"/>
      </w:pPr>
      <w:r>
        <w:separator/>
      </w:r>
    </w:p>
  </w:footnote>
  <w:footnote w:type="continuationSeparator" w:id="0">
    <w:p w14:paraId="08BAC8AC" w14:textId="77777777" w:rsidR="00C77631" w:rsidRDefault="00C7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17BE" w14:textId="77777777" w:rsidR="00D220B7" w:rsidRDefault="00D220B7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8ABA26" w14:textId="77777777" w:rsidR="00D220B7" w:rsidRDefault="00D2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EE55" w14:textId="77777777" w:rsidR="00D220B7" w:rsidRDefault="00D220B7" w:rsidP="005F4604">
    <w:pPr>
      <w:pStyle w:val="a3"/>
      <w:framePr w:wrap="around" w:vAnchor="text" w:hAnchor="margin" w:xAlign="center" w:y="1"/>
      <w:rPr>
        <w:rStyle w:val="a5"/>
      </w:rPr>
    </w:pPr>
  </w:p>
  <w:p w14:paraId="09081411" w14:textId="77777777" w:rsidR="00D220B7" w:rsidRPr="00F151A5" w:rsidRDefault="00D220B7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B316C"/>
    <w:rsid w:val="000C04ED"/>
    <w:rsid w:val="000E45AD"/>
    <w:rsid w:val="000E51F0"/>
    <w:rsid w:val="001029BA"/>
    <w:rsid w:val="00105459"/>
    <w:rsid w:val="001233A1"/>
    <w:rsid w:val="00125EA1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1A63"/>
    <w:rsid w:val="002C2E6B"/>
    <w:rsid w:val="002C6062"/>
    <w:rsid w:val="002D155D"/>
    <w:rsid w:val="002D1C16"/>
    <w:rsid w:val="002D4FD5"/>
    <w:rsid w:val="002D6095"/>
    <w:rsid w:val="00303E2C"/>
    <w:rsid w:val="003262F0"/>
    <w:rsid w:val="00352437"/>
    <w:rsid w:val="00355458"/>
    <w:rsid w:val="003610A6"/>
    <w:rsid w:val="003642DA"/>
    <w:rsid w:val="00367D76"/>
    <w:rsid w:val="00381FB2"/>
    <w:rsid w:val="00383AFE"/>
    <w:rsid w:val="00397490"/>
    <w:rsid w:val="003D7C33"/>
    <w:rsid w:val="003F4703"/>
    <w:rsid w:val="003F7B47"/>
    <w:rsid w:val="00407F7F"/>
    <w:rsid w:val="00417CB5"/>
    <w:rsid w:val="00424EC3"/>
    <w:rsid w:val="0044154D"/>
    <w:rsid w:val="00450DF1"/>
    <w:rsid w:val="00485369"/>
    <w:rsid w:val="004968D2"/>
    <w:rsid w:val="004B42FE"/>
    <w:rsid w:val="004C30B0"/>
    <w:rsid w:val="004D22F1"/>
    <w:rsid w:val="004E0F1C"/>
    <w:rsid w:val="004E167C"/>
    <w:rsid w:val="004E7D60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36F97"/>
    <w:rsid w:val="006C0FEF"/>
    <w:rsid w:val="006E4781"/>
    <w:rsid w:val="006E58B7"/>
    <w:rsid w:val="006F5D76"/>
    <w:rsid w:val="0070232C"/>
    <w:rsid w:val="00725EB9"/>
    <w:rsid w:val="0075763F"/>
    <w:rsid w:val="007602C1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70C37"/>
    <w:rsid w:val="0087418F"/>
    <w:rsid w:val="008B3B7D"/>
    <w:rsid w:val="008C1CB2"/>
    <w:rsid w:val="008E64BA"/>
    <w:rsid w:val="0090328F"/>
    <w:rsid w:val="00911715"/>
    <w:rsid w:val="0091311E"/>
    <w:rsid w:val="009233C4"/>
    <w:rsid w:val="00945A27"/>
    <w:rsid w:val="00950D8A"/>
    <w:rsid w:val="00974D52"/>
    <w:rsid w:val="009779EC"/>
    <w:rsid w:val="009A35F4"/>
    <w:rsid w:val="009A4036"/>
    <w:rsid w:val="009A5F87"/>
    <w:rsid w:val="009A75EE"/>
    <w:rsid w:val="009D3682"/>
    <w:rsid w:val="009D7B90"/>
    <w:rsid w:val="009E2644"/>
    <w:rsid w:val="009F1F86"/>
    <w:rsid w:val="00A04976"/>
    <w:rsid w:val="00A15569"/>
    <w:rsid w:val="00A339DE"/>
    <w:rsid w:val="00A53B74"/>
    <w:rsid w:val="00A53F6A"/>
    <w:rsid w:val="00A77AB2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63004"/>
    <w:rsid w:val="00B65A6B"/>
    <w:rsid w:val="00B720BB"/>
    <w:rsid w:val="00B8366F"/>
    <w:rsid w:val="00B85C10"/>
    <w:rsid w:val="00B9101A"/>
    <w:rsid w:val="00BA0747"/>
    <w:rsid w:val="00BA722D"/>
    <w:rsid w:val="00BC2568"/>
    <w:rsid w:val="00BE4D82"/>
    <w:rsid w:val="00C10019"/>
    <w:rsid w:val="00C22843"/>
    <w:rsid w:val="00C26CC2"/>
    <w:rsid w:val="00C410C6"/>
    <w:rsid w:val="00C57877"/>
    <w:rsid w:val="00C77631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07699"/>
    <w:rsid w:val="00D11A1E"/>
    <w:rsid w:val="00D20059"/>
    <w:rsid w:val="00D20994"/>
    <w:rsid w:val="00D220B7"/>
    <w:rsid w:val="00D231A0"/>
    <w:rsid w:val="00D40D4E"/>
    <w:rsid w:val="00D60701"/>
    <w:rsid w:val="00D61F15"/>
    <w:rsid w:val="00DA44FA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B5B6F"/>
    <w:rsid w:val="00ED02C5"/>
    <w:rsid w:val="00ED7D0E"/>
    <w:rsid w:val="00EE7F99"/>
    <w:rsid w:val="00EF06CD"/>
    <w:rsid w:val="00F1149D"/>
    <w:rsid w:val="00F1460F"/>
    <w:rsid w:val="00F15BF4"/>
    <w:rsid w:val="00F24AB4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2B13"/>
  <w15:docId w15:val="{B3E902F5-5D7D-4C0A-B100-5A25D248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customStyle="1" w:styleId="ac">
    <w:name w:val="Знак Знак Знак Знак Знак Знак"/>
    <w:basedOn w:val="a"/>
    <w:rsid w:val="00EB5B6F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  <w:style w:type="paragraph" w:styleId="ad">
    <w:name w:val="Normal (Web)"/>
    <w:basedOn w:val="a"/>
    <w:rsid w:val="0041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rvps2">
    <w:name w:val="rvps2"/>
    <w:basedOn w:val="a"/>
    <w:rsid w:val="0041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4861</Words>
  <Characters>2772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IPA</cp:lastModifiedBy>
  <cp:revision>38</cp:revision>
  <cp:lastPrinted>2021-03-23T10:53:00Z</cp:lastPrinted>
  <dcterms:created xsi:type="dcterms:W3CDTF">2021-03-23T06:29:00Z</dcterms:created>
  <dcterms:modified xsi:type="dcterms:W3CDTF">2021-11-10T11:59:00Z</dcterms:modified>
</cp:coreProperties>
</file>