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AA1D1B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Василець І.Г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AA1D1B">
        <w:rPr>
          <w:rFonts w:ascii="Times New Roman" w:hAnsi="Times New Roman" w:cs="Times New Roman"/>
          <w:b/>
          <w:sz w:val="28"/>
          <w:szCs w:val="28"/>
        </w:rPr>
        <w:t>ВАСИЛЕЦЬ Ірини Григорівни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AA1D1B">
        <w:rPr>
          <w:rFonts w:ascii="Times New Roman" w:hAnsi="Times New Roman" w:cs="Times New Roman"/>
          <w:sz w:val="28"/>
          <w:szCs w:val="28"/>
        </w:rPr>
        <w:t>головного спеціаліста відділу контролю у сфері торгівлі, робіт та послуг управління захисту споживачів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AA1D1B">
        <w:rPr>
          <w:rFonts w:ascii="Times New Roman" w:hAnsi="Times New Roman" w:cs="Times New Roman"/>
          <w:b/>
          <w:sz w:val="28"/>
          <w:szCs w:val="28"/>
        </w:rPr>
        <w:t>ВАСИЛЕЦЬ Ірини Григорівни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1A4AB6"/>
    <w:rsid w:val="00AA1D1B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2018-08-31T09:27:00Z</dcterms:created>
  <dcterms:modified xsi:type="dcterms:W3CDTF">2018-08-31T09:27:00Z</dcterms:modified>
</cp:coreProperties>
</file>